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9017B5" w:rsidRPr="00560BE7" w:rsidRDefault="009017B5" w:rsidP="00560BE7">
      <w:pPr>
        <w:spacing w:line="480" w:lineRule="auto"/>
        <w:jc w:val="both"/>
        <w:rPr>
          <w:rFonts w:ascii="Times New Roman" w:hAnsi="Times New Roman" w:cs="Times New Roman"/>
          <w:sz w:val="24"/>
          <w:szCs w:val="24"/>
          <w:shd w:val="clear" w:color="auto" w:fill="FFFFFF"/>
        </w:rPr>
      </w:pPr>
    </w:p>
    <w:p w:rsidR="00560BE7" w:rsidRPr="00560BE7" w:rsidRDefault="00560BE7" w:rsidP="00560BE7">
      <w:pPr>
        <w:spacing w:line="480" w:lineRule="auto"/>
        <w:jc w:val="center"/>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Community Health Development</w:t>
      </w:r>
    </w:p>
    <w:p w:rsidR="0097726B" w:rsidRPr="00560BE7" w:rsidRDefault="0097726B" w:rsidP="00560BE7">
      <w:pPr>
        <w:spacing w:line="480" w:lineRule="auto"/>
        <w:jc w:val="center"/>
        <w:rPr>
          <w:rFonts w:ascii="Times New Roman" w:hAnsi="Times New Roman" w:cs="Times New Roman"/>
          <w:sz w:val="24"/>
          <w:szCs w:val="24"/>
          <w:shd w:val="clear" w:color="auto" w:fill="FFFFFF"/>
        </w:rPr>
      </w:pPr>
      <w:r w:rsidRPr="00560BE7">
        <w:rPr>
          <w:rFonts w:ascii="Times New Roman" w:hAnsi="Times New Roman" w:cs="Times New Roman"/>
          <w:sz w:val="24"/>
          <w:szCs w:val="24"/>
          <w:lang w:val="en-GB"/>
        </w:rPr>
        <w:t>Name</w:t>
      </w:r>
    </w:p>
    <w:p w:rsidR="0097726B" w:rsidRPr="00560BE7" w:rsidRDefault="005135C6" w:rsidP="00560BE7">
      <w:pPr>
        <w:spacing w:line="480" w:lineRule="auto"/>
        <w:jc w:val="center"/>
        <w:rPr>
          <w:rFonts w:ascii="Times New Roman" w:hAnsi="Times New Roman" w:cs="Times New Roman"/>
          <w:sz w:val="24"/>
          <w:szCs w:val="24"/>
          <w:shd w:val="clear" w:color="auto" w:fill="FFFFFF"/>
        </w:rPr>
      </w:pPr>
      <w:r w:rsidRPr="00560BE7">
        <w:rPr>
          <w:rFonts w:ascii="Times New Roman" w:hAnsi="Times New Roman" w:cs="Times New Roman"/>
          <w:sz w:val="24"/>
          <w:szCs w:val="24"/>
          <w:lang w:val="en-GB"/>
        </w:rPr>
        <w:t>Institutional Affiliation</w:t>
      </w:r>
    </w:p>
    <w:p w:rsidR="00D417A0" w:rsidRPr="00560BE7" w:rsidRDefault="00D417A0" w:rsidP="00560BE7">
      <w:pPr>
        <w:spacing w:line="480" w:lineRule="auto"/>
        <w:rPr>
          <w:rFonts w:ascii="Times New Roman" w:hAnsi="Times New Roman" w:cs="Times New Roman"/>
          <w:sz w:val="24"/>
          <w:szCs w:val="24"/>
          <w:lang w:val="en-GB"/>
        </w:rPr>
      </w:pPr>
      <w:r w:rsidRPr="00560BE7">
        <w:rPr>
          <w:rFonts w:ascii="Times New Roman" w:hAnsi="Times New Roman" w:cs="Times New Roman"/>
          <w:sz w:val="24"/>
          <w:szCs w:val="24"/>
          <w:lang w:val="en-GB"/>
        </w:rPr>
        <w:br w:type="page"/>
      </w:r>
    </w:p>
    <w:p w:rsidR="00560BE7" w:rsidRPr="00560BE7" w:rsidRDefault="00560BE7" w:rsidP="00784440">
      <w:pPr>
        <w:spacing w:line="480" w:lineRule="auto"/>
        <w:jc w:val="center"/>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lastRenderedPageBreak/>
        <w:t>Community Health Development</w:t>
      </w:r>
    </w:p>
    <w:p w:rsidR="00560BE7" w:rsidRPr="00560BE7" w:rsidRDefault="00560BE7" w:rsidP="00784440">
      <w:pPr>
        <w:spacing w:line="480" w:lineRule="auto"/>
        <w:jc w:val="both"/>
        <w:rPr>
          <w:rFonts w:ascii="Times New Roman" w:hAnsi="Times New Roman" w:cs="Times New Roman"/>
          <w:b/>
          <w:sz w:val="24"/>
          <w:szCs w:val="24"/>
        </w:rPr>
      </w:pPr>
      <w:r w:rsidRPr="00560BE7">
        <w:rPr>
          <w:rFonts w:ascii="Times New Roman" w:hAnsi="Times New Roman" w:cs="Times New Roman"/>
          <w:b/>
          <w:sz w:val="24"/>
          <w:szCs w:val="24"/>
        </w:rPr>
        <w:t>Nutrition</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sz w:val="24"/>
          <w:szCs w:val="24"/>
        </w:rPr>
        <w:t xml:space="preserve">Nutrient requirements for optimum health and proper functioning of the aging, physiological system usually are entirely different from younger people. Recognizing and taking into adequate consideration the particular nutrition issues of the aging population are continually researched and tested, primarily as a result of the increased population of the elderly. Economic restrictions and physical inactivity can have a greater extent of reduction in terms of food intakes, which further contributes to nutritional stress and needs. Older people have a high frequency of cancer and other diseases. Infectious diseases, cancer, or trauma can change the amount of intake or requirements for various nutrients. Therefore, specific foods and nutritional supplementations can be helpful in treating aged adults including patients with cancer. To an extent, treating multiple conditions with diet or dietary supplements is a unique problem among the older population.    </w:t>
      </w:r>
    </w:p>
    <w:p w:rsidR="00560BE7" w:rsidRPr="00560BE7" w:rsidRDefault="00560BE7" w:rsidP="00784440">
      <w:pPr>
        <w:spacing w:line="480" w:lineRule="auto"/>
        <w:jc w:val="both"/>
        <w:rPr>
          <w:rFonts w:ascii="Times New Roman" w:hAnsi="Times New Roman" w:cs="Times New Roman"/>
          <w:b/>
          <w:sz w:val="24"/>
          <w:szCs w:val="24"/>
        </w:rPr>
      </w:pPr>
      <w:r w:rsidRPr="00560BE7">
        <w:rPr>
          <w:rFonts w:ascii="Times New Roman" w:hAnsi="Times New Roman" w:cs="Times New Roman"/>
          <w:b/>
          <w:sz w:val="24"/>
          <w:szCs w:val="24"/>
        </w:rPr>
        <w:t>Aging Population</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sz w:val="24"/>
          <w:szCs w:val="24"/>
        </w:rPr>
        <w:t>The issue of nutrition is an essential matter of consideration among the aging population. Increasingly, several adults in the community require direct research to take into proper account the health problems that older people confront. Accordingly</w:t>
      </w:r>
      <w:r w:rsidRPr="00560BE7">
        <w:rPr>
          <w:rFonts w:ascii="Times New Roman" w:hAnsi="Times New Roman" w:cs="Times New Roman"/>
          <w:b/>
          <w:sz w:val="24"/>
          <w:szCs w:val="24"/>
        </w:rPr>
        <w:t xml:space="preserve">, </w:t>
      </w:r>
      <w:r w:rsidRPr="00560BE7">
        <w:rPr>
          <w:rFonts w:ascii="Times New Roman" w:hAnsi="Times New Roman" w:cs="Times New Roman"/>
          <w:sz w:val="24"/>
          <w:szCs w:val="24"/>
        </w:rPr>
        <w:t xml:space="preserve">the global demographic transition to the older population affects different countries worldwide. By 2050, the general population of the world will have most people at the age of 60 years with the community of up to two billion. In order to meet the specific nutritional requirements of this increasing population, to avoid age-associated degenerative disease, is of great importance. Most of the age-related conditions that have such strong impact on the cost and need for health care and quality of life of aging population have essential nutritional </w:t>
      </w:r>
      <w:r w:rsidRPr="00560BE7">
        <w:rPr>
          <w:rFonts w:ascii="Times New Roman" w:hAnsi="Times New Roman" w:cs="Times New Roman"/>
          <w:sz w:val="24"/>
          <w:szCs w:val="24"/>
        </w:rPr>
        <w:lastRenderedPageBreak/>
        <w:t>components among theme include, diabetes, cognitive decline, stroke, and cardiovascular disease.</w:t>
      </w:r>
    </w:p>
    <w:p w:rsidR="00560BE7" w:rsidRPr="00560BE7" w:rsidRDefault="00560BE7" w:rsidP="00784440">
      <w:pPr>
        <w:spacing w:line="480" w:lineRule="auto"/>
        <w:jc w:val="both"/>
        <w:rPr>
          <w:rFonts w:ascii="Times New Roman" w:hAnsi="Times New Roman" w:cs="Times New Roman"/>
          <w:b/>
          <w:sz w:val="24"/>
          <w:szCs w:val="24"/>
        </w:rPr>
      </w:pPr>
      <w:r w:rsidRPr="00560BE7">
        <w:rPr>
          <w:rFonts w:ascii="Times New Roman" w:hAnsi="Times New Roman" w:cs="Times New Roman"/>
          <w:b/>
          <w:sz w:val="24"/>
          <w:szCs w:val="24"/>
        </w:rPr>
        <w:t>Factors</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sz w:val="24"/>
          <w:szCs w:val="24"/>
        </w:rPr>
        <w:t xml:space="preserve">Nutrition is known to be an essential factor that influences the aging process. There are several data in the literature indicating that nutrition hold promise as a basis for interventions, which modulate the effects of the aging population, hence improving the quality of life at an older age. Meanwhile, some data also suggest that specific nutritional requirements or diet component often promotes the process of aging or at least promote age-associated diseases. Therefore, a significant amount of attention should be paid to the research strategies, which can thoroughly define the factors that modulate the process of aging along with the procedure for determining the mechanism for doing so. Moreover, being overweight and obese are established risk factors for hypertension. Studies conducted by the National Health and Nutrition Examination survey discovered that there was an increase in the age-standardized prevalence of hypertension due to increased body mass index.   </w:t>
      </w:r>
    </w:p>
    <w:p w:rsidR="00560BE7" w:rsidRPr="00560BE7" w:rsidRDefault="00560BE7" w:rsidP="00784440">
      <w:pPr>
        <w:spacing w:line="480" w:lineRule="auto"/>
        <w:jc w:val="both"/>
        <w:rPr>
          <w:rFonts w:ascii="Times New Roman" w:hAnsi="Times New Roman" w:cs="Times New Roman"/>
          <w:b/>
          <w:sz w:val="24"/>
          <w:szCs w:val="24"/>
        </w:rPr>
      </w:pPr>
      <w:r w:rsidRPr="00560BE7">
        <w:rPr>
          <w:rFonts w:ascii="Times New Roman" w:hAnsi="Times New Roman" w:cs="Times New Roman"/>
          <w:b/>
          <w:sz w:val="24"/>
          <w:szCs w:val="24"/>
        </w:rPr>
        <w:t>Interventions</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sz w:val="24"/>
          <w:szCs w:val="24"/>
        </w:rPr>
        <w:t xml:space="preserve">Various </w:t>
      </w:r>
      <w:r w:rsidR="000865FA" w:rsidRPr="00560BE7">
        <w:rPr>
          <w:rFonts w:ascii="Times New Roman" w:hAnsi="Times New Roman" w:cs="Times New Roman"/>
          <w:sz w:val="24"/>
          <w:szCs w:val="24"/>
        </w:rPr>
        <w:t>new</w:t>
      </w:r>
      <w:r w:rsidRPr="00560BE7">
        <w:rPr>
          <w:rFonts w:ascii="Times New Roman" w:hAnsi="Times New Roman" w:cs="Times New Roman"/>
          <w:sz w:val="24"/>
          <w:szCs w:val="24"/>
        </w:rPr>
        <w:t xml:space="preserve"> interventions meant to </w:t>
      </w:r>
      <w:r w:rsidR="000865FA" w:rsidRPr="00560BE7">
        <w:rPr>
          <w:rFonts w:ascii="Times New Roman" w:hAnsi="Times New Roman" w:cs="Times New Roman"/>
          <w:sz w:val="24"/>
          <w:szCs w:val="24"/>
        </w:rPr>
        <w:t>control</w:t>
      </w:r>
      <w:r w:rsidRPr="00560BE7">
        <w:rPr>
          <w:rFonts w:ascii="Times New Roman" w:hAnsi="Times New Roman" w:cs="Times New Roman"/>
          <w:sz w:val="24"/>
          <w:szCs w:val="24"/>
        </w:rPr>
        <w:t xml:space="preserve"> the aging </w:t>
      </w:r>
      <w:r w:rsidR="000865FA" w:rsidRPr="00560BE7">
        <w:rPr>
          <w:rFonts w:ascii="Times New Roman" w:hAnsi="Times New Roman" w:cs="Times New Roman"/>
          <w:sz w:val="24"/>
          <w:szCs w:val="24"/>
        </w:rPr>
        <w:t>progression</w:t>
      </w:r>
      <w:r w:rsidRPr="00560BE7">
        <w:rPr>
          <w:rFonts w:ascii="Times New Roman" w:hAnsi="Times New Roman" w:cs="Times New Roman"/>
          <w:sz w:val="24"/>
          <w:szCs w:val="24"/>
        </w:rPr>
        <w:t xml:space="preserve"> have been </w:t>
      </w:r>
      <w:r w:rsidR="000865FA" w:rsidRPr="00560BE7">
        <w:rPr>
          <w:rFonts w:ascii="Times New Roman" w:hAnsi="Times New Roman" w:cs="Times New Roman"/>
          <w:sz w:val="24"/>
          <w:szCs w:val="24"/>
        </w:rPr>
        <w:t>tried</w:t>
      </w:r>
      <w:r w:rsidRPr="00560BE7">
        <w:rPr>
          <w:rFonts w:ascii="Times New Roman" w:hAnsi="Times New Roman" w:cs="Times New Roman"/>
          <w:sz w:val="24"/>
          <w:szCs w:val="24"/>
        </w:rPr>
        <w:t xml:space="preserve">. Currently, the well-known </w:t>
      </w:r>
      <w:r w:rsidR="000865FA" w:rsidRPr="00560BE7">
        <w:rPr>
          <w:rFonts w:ascii="Times New Roman" w:hAnsi="Times New Roman" w:cs="Times New Roman"/>
          <w:sz w:val="24"/>
          <w:szCs w:val="24"/>
        </w:rPr>
        <w:t>recognized</w:t>
      </w:r>
      <w:r w:rsidRPr="00560BE7">
        <w:rPr>
          <w:rFonts w:ascii="Times New Roman" w:hAnsi="Times New Roman" w:cs="Times New Roman"/>
          <w:sz w:val="24"/>
          <w:szCs w:val="24"/>
        </w:rPr>
        <w:t xml:space="preserve"> intervention that has </w:t>
      </w:r>
      <w:r w:rsidR="000865FA" w:rsidRPr="00560BE7">
        <w:rPr>
          <w:rFonts w:ascii="Times New Roman" w:hAnsi="Times New Roman" w:cs="Times New Roman"/>
          <w:sz w:val="24"/>
          <w:szCs w:val="24"/>
        </w:rPr>
        <w:t>reliably</w:t>
      </w:r>
      <w:r w:rsidRPr="00560BE7">
        <w:rPr>
          <w:rFonts w:ascii="Times New Roman" w:hAnsi="Times New Roman" w:cs="Times New Roman"/>
          <w:sz w:val="24"/>
          <w:szCs w:val="24"/>
        </w:rPr>
        <w:t xml:space="preserve"> proven to </w:t>
      </w:r>
      <w:r w:rsidR="000865FA" w:rsidRPr="00560BE7">
        <w:rPr>
          <w:rFonts w:ascii="Times New Roman" w:hAnsi="Times New Roman" w:cs="Times New Roman"/>
          <w:sz w:val="24"/>
          <w:szCs w:val="24"/>
        </w:rPr>
        <w:t>decrease</w:t>
      </w:r>
      <w:r w:rsidRPr="00560BE7">
        <w:rPr>
          <w:rFonts w:ascii="Times New Roman" w:hAnsi="Times New Roman" w:cs="Times New Roman"/>
          <w:sz w:val="24"/>
          <w:szCs w:val="24"/>
        </w:rPr>
        <w:t xml:space="preserve"> the rate of </w:t>
      </w:r>
      <w:r w:rsidR="000865FA" w:rsidRPr="00560BE7">
        <w:rPr>
          <w:rFonts w:ascii="Times New Roman" w:hAnsi="Times New Roman" w:cs="Times New Roman"/>
          <w:sz w:val="24"/>
          <w:szCs w:val="24"/>
        </w:rPr>
        <w:t>getting old</w:t>
      </w:r>
      <w:r w:rsidRPr="00560BE7">
        <w:rPr>
          <w:rFonts w:ascii="Times New Roman" w:hAnsi="Times New Roman" w:cs="Times New Roman"/>
          <w:sz w:val="24"/>
          <w:szCs w:val="24"/>
        </w:rPr>
        <w:t xml:space="preserve"> and to increase maximal and mean </w:t>
      </w:r>
      <w:r w:rsidR="000865FA" w:rsidRPr="00560BE7">
        <w:rPr>
          <w:rFonts w:ascii="Times New Roman" w:hAnsi="Times New Roman" w:cs="Times New Roman"/>
          <w:sz w:val="24"/>
          <w:szCs w:val="24"/>
        </w:rPr>
        <w:t>lifecycle</w:t>
      </w:r>
      <w:r w:rsidRPr="00560BE7">
        <w:rPr>
          <w:rFonts w:ascii="Times New Roman" w:hAnsi="Times New Roman" w:cs="Times New Roman"/>
          <w:sz w:val="24"/>
          <w:szCs w:val="24"/>
        </w:rPr>
        <w:t xml:space="preserve"> in different species is </w:t>
      </w:r>
      <w:r w:rsidR="000865FA" w:rsidRPr="00560BE7">
        <w:rPr>
          <w:rFonts w:ascii="Times New Roman" w:hAnsi="Times New Roman" w:cs="Times New Roman"/>
          <w:sz w:val="24"/>
          <w:szCs w:val="24"/>
        </w:rPr>
        <w:t>enduring</w:t>
      </w:r>
      <w:r w:rsidRPr="00560BE7">
        <w:rPr>
          <w:rFonts w:ascii="Times New Roman" w:hAnsi="Times New Roman" w:cs="Times New Roman"/>
          <w:sz w:val="24"/>
          <w:szCs w:val="24"/>
        </w:rPr>
        <w:t xml:space="preserve"> diet restriction. Restricting calories is the most </w:t>
      </w:r>
      <w:r w:rsidR="000865FA" w:rsidRPr="00560BE7">
        <w:rPr>
          <w:rFonts w:ascii="Times New Roman" w:hAnsi="Times New Roman" w:cs="Times New Roman"/>
          <w:sz w:val="24"/>
          <w:szCs w:val="24"/>
        </w:rPr>
        <w:t>assessed</w:t>
      </w:r>
      <w:r w:rsidRPr="00560BE7">
        <w:rPr>
          <w:rFonts w:ascii="Times New Roman" w:hAnsi="Times New Roman" w:cs="Times New Roman"/>
          <w:sz w:val="24"/>
          <w:szCs w:val="24"/>
        </w:rPr>
        <w:t xml:space="preserve"> technique among different types of diet restriction. In addition to making </w:t>
      </w:r>
      <w:r w:rsidR="000865FA" w:rsidRPr="00560BE7">
        <w:rPr>
          <w:rFonts w:ascii="Times New Roman" w:hAnsi="Times New Roman" w:cs="Times New Roman"/>
          <w:sz w:val="24"/>
          <w:szCs w:val="24"/>
        </w:rPr>
        <w:t>significant</w:t>
      </w:r>
      <w:r w:rsidRPr="00560BE7">
        <w:rPr>
          <w:rFonts w:ascii="Times New Roman" w:hAnsi="Times New Roman" w:cs="Times New Roman"/>
          <w:sz w:val="24"/>
          <w:szCs w:val="24"/>
        </w:rPr>
        <w:t xml:space="preserve"> extension in someone's life, caloric restriction has profound effects on age-related physiological and pathophysiological changes. The results that arise from caloric restriction are different from that of starvation and malnutrition. Furthermore, various </w:t>
      </w:r>
      <w:r w:rsidR="000865FA" w:rsidRPr="00560BE7">
        <w:rPr>
          <w:rFonts w:ascii="Times New Roman" w:hAnsi="Times New Roman" w:cs="Times New Roman"/>
          <w:sz w:val="24"/>
          <w:szCs w:val="24"/>
        </w:rPr>
        <w:t>categories</w:t>
      </w:r>
      <w:r w:rsidRPr="00560BE7">
        <w:rPr>
          <w:rFonts w:ascii="Times New Roman" w:hAnsi="Times New Roman" w:cs="Times New Roman"/>
          <w:sz w:val="24"/>
          <w:szCs w:val="24"/>
        </w:rPr>
        <w:t xml:space="preserve"> of nutrition programs and services have been made </w:t>
      </w:r>
      <w:r w:rsidR="000865FA" w:rsidRPr="00560BE7">
        <w:rPr>
          <w:rFonts w:ascii="Times New Roman" w:hAnsi="Times New Roman" w:cs="Times New Roman"/>
          <w:sz w:val="24"/>
          <w:szCs w:val="24"/>
        </w:rPr>
        <w:t>accessible</w:t>
      </w:r>
      <w:r w:rsidRPr="00560BE7">
        <w:rPr>
          <w:rFonts w:ascii="Times New Roman" w:hAnsi="Times New Roman" w:cs="Times New Roman"/>
          <w:sz w:val="24"/>
          <w:szCs w:val="24"/>
        </w:rPr>
        <w:t xml:space="preserve"> for older adults. Specific </w:t>
      </w:r>
      <w:r w:rsidR="000865FA" w:rsidRPr="00560BE7">
        <w:rPr>
          <w:rFonts w:ascii="Times New Roman" w:hAnsi="Times New Roman" w:cs="Times New Roman"/>
          <w:sz w:val="24"/>
          <w:szCs w:val="24"/>
        </w:rPr>
        <w:t>amenities</w:t>
      </w:r>
      <w:r w:rsidRPr="00560BE7">
        <w:rPr>
          <w:rFonts w:ascii="Times New Roman" w:hAnsi="Times New Roman" w:cs="Times New Roman"/>
          <w:sz w:val="24"/>
          <w:szCs w:val="24"/>
        </w:rPr>
        <w:t xml:space="preserve"> that adults have access to include </w:t>
      </w:r>
      <w:r w:rsidRPr="00560BE7">
        <w:rPr>
          <w:rFonts w:ascii="Times New Roman" w:hAnsi="Times New Roman" w:cs="Times New Roman"/>
          <w:sz w:val="24"/>
          <w:szCs w:val="24"/>
        </w:rPr>
        <w:lastRenderedPageBreak/>
        <w:t xml:space="preserve">delivery of meals congregate or </w:t>
      </w:r>
      <w:r w:rsidR="000865FA" w:rsidRPr="00560BE7">
        <w:rPr>
          <w:rFonts w:ascii="Times New Roman" w:hAnsi="Times New Roman" w:cs="Times New Roman"/>
          <w:sz w:val="24"/>
          <w:szCs w:val="24"/>
        </w:rPr>
        <w:t>communal</w:t>
      </w:r>
      <w:r w:rsidRPr="00560BE7">
        <w:rPr>
          <w:rFonts w:ascii="Times New Roman" w:hAnsi="Times New Roman" w:cs="Times New Roman"/>
          <w:sz w:val="24"/>
          <w:szCs w:val="24"/>
        </w:rPr>
        <w:t xml:space="preserve"> </w:t>
      </w:r>
      <w:r w:rsidR="000865FA" w:rsidRPr="00560BE7">
        <w:rPr>
          <w:rFonts w:ascii="Times New Roman" w:hAnsi="Times New Roman" w:cs="Times New Roman"/>
          <w:sz w:val="24"/>
          <w:szCs w:val="24"/>
        </w:rPr>
        <w:t>banquets</w:t>
      </w:r>
      <w:r w:rsidRPr="00560BE7">
        <w:rPr>
          <w:rFonts w:ascii="Times New Roman" w:hAnsi="Times New Roman" w:cs="Times New Roman"/>
          <w:sz w:val="24"/>
          <w:szCs w:val="24"/>
        </w:rPr>
        <w:t xml:space="preserve">, food stamps and food banks, nutrition deduction and screening and other </w:t>
      </w:r>
      <w:r w:rsidR="000865FA" w:rsidRPr="00560BE7">
        <w:rPr>
          <w:rFonts w:ascii="Times New Roman" w:hAnsi="Times New Roman" w:cs="Times New Roman"/>
          <w:sz w:val="24"/>
          <w:szCs w:val="24"/>
        </w:rPr>
        <w:t>helpful</w:t>
      </w:r>
      <w:r w:rsidRPr="00560BE7">
        <w:rPr>
          <w:rFonts w:ascii="Times New Roman" w:hAnsi="Times New Roman" w:cs="Times New Roman"/>
          <w:sz w:val="24"/>
          <w:szCs w:val="24"/>
        </w:rPr>
        <w:t xml:space="preserve"> services like grocery </w:t>
      </w:r>
      <w:r w:rsidR="000865FA" w:rsidRPr="00560BE7">
        <w:rPr>
          <w:rFonts w:ascii="Times New Roman" w:hAnsi="Times New Roman" w:cs="Times New Roman"/>
          <w:sz w:val="24"/>
          <w:szCs w:val="24"/>
        </w:rPr>
        <w:t>distribution</w:t>
      </w:r>
      <w:r w:rsidRPr="00560BE7">
        <w:rPr>
          <w:rFonts w:ascii="Times New Roman" w:hAnsi="Times New Roman" w:cs="Times New Roman"/>
          <w:sz w:val="24"/>
          <w:szCs w:val="24"/>
        </w:rPr>
        <w:t xml:space="preserve">.    </w:t>
      </w:r>
    </w:p>
    <w:p w:rsidR="00560BE7" w:rsidRPr="00560BE7" w:rsidRDefault="00560BE7" w:rsidP="00784440">
      <w:pPr>
        <w:spacing w:line="480" w:lineRule="auto"/>
        <w:jc w:val="center"/>
        <w:rPr>
          <w:rFonts w:ascii="Times New Roman" w:hAnsi="Times New Roman" w:cs="Times New Roman"/>
          <w:b/>
          <w:sz w:val="24"/>
          <w:szCs w:val="24"/>
        </w:rPr>
      </w:pPr>
      <w:r w:rsidRPr="00560BE7">
        <w:rPr>
          <w:rFonts w:ascii="Times New Roman" w:hAnsi="Times New Roman" w:cs="Times New Roman"/>
          <w:b/>
          <w:sz w:val="24"/>
          <w:szCs w:val="24"/>
        </w:rPr>
        <w:t>Annotated Bibliography</w:t>
      </w:r>
    </w:p>
    <w:p w:rsidR="00784440" w:rsidRDefault="00560BE7" w:rsidP="00784440">
      <w:pPr>
        <w:spacing w:line="480" w:lineRule="auto"/>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 xml:space="preserve">Lee, J. S., Weyant, R. J., Corby, P., Kritchevsky, S. B., Harris, T. B., Rooks, R., ... &amp; </w:t>
      </w:r>
    </w:p>
    <w:p w:rsidR="00560BE7" w:rsidRPr="00560BE7" w:rsidRDefault="00560BE7" w:rsidP="00784440">
      <w:pPr>
        <w:spacing w:line="480" w:lineRule="auto"/>
        <w:ind w:left="720"/>
        <w:jc w:val="both"/>
        <w:rPr>
          <w:rFonts w:ascii="Times New Roman" w:hAnsi="Times New Roman" w:cs="Times New Roman"/>
          <w:sz w:val="24"/>
          <w:szCs w:val="24"/>
        </w:rPr>
      </w:pPr>
      <w:r w:rsidRPr="00560BE7">
        <w:rPr>
          <w:rFonts w:ascii="Times New Roman" w:hAnsi="Times New Roman" w:cs="Times New Roman"/>
          <w:color w:val="222222"/>
          <w:sz w:val="24"/>
          <w:szCs w:val="24"/>
          <w:shd w:val="clear" w:color="auto" w:fill="FFFFFF"/>
        </w:rPr>
        <w:t>Newman, A. B. (2004). Edentulism and nutritional status in a biracial sample of well-functioning, community-dwelling elderly: the health, aging, and body composition study. </w:t>
      </w:r>
      <w:r w:rsidRPr="00560BE7">
        <w:rPr>
          <w:rFonts w:ascii="Times New Roman" w:hAnsi="Times New Roman" w:cs="Times New Roman"/>
          <w:i/>
          <w:iCs/>
          <w:color w:val="222222"/>
          <w:sz w:val="24"/>
          <w:szCs w:val="24"/>
          <w:shd w:val="clear" w:color="auto" w:fill="FFFFFF"/>
        </w:rPr>
        <w:t>The American journal o</w:t>
      </w:r>
      <w:bookmarkStart w:id="0" w:name="_GoBack"/>
      <w:bookmarkEnd w:id="0"/>
      <w:r w:rsidRPr="00560BE7">
        <w:rPr>
          <w:rFonts w:ascii="Times New Roman" w:hAnsi="Times New Roman" w:cs="Times New Roman"/>
          <w:i/>
          <w:iCs/>
          <w:color w:val="222222"/>
          <w:sz w:val="24"/>
          <w:szCs w:val="24"/>
          <w:shd w:val="clear" w:color="auto" w:fill="FFFFFF"/>
        </w:rPr>
        <w:t>f clinical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79</w:t>
      </w:r>
      <w:r w:rsidRPr="00560BE7">
        <w:rPr>
          <w:rFonts w:ascii="Times New Roman" w:hAnsi="Times New Roman" w:cs="Times New Roman"/>
          <w:color w:val="222222"/>
          <w:sz w:val="24"/>
          <w:szCs w:val="24"/>
          <w:shd w:val="clear" w:color="auto" w:fill="FFFFFF"/>
        </w:rPr>
        <w:t>(2), 295-302.</w:t>
      </w:r>
      <w:r w:rsidRPr="00560BE7">
        <w:rPr>
          <w:rFonts w:ascii="Times New Roman" w:hAnsi="Times New Roman" w:cs="Times New Roman"/>
          <w:sz w:val="24"/>
          <w:szCs w:val="24"/>
        </w:rPr>
        <w:t xml:space="preserve"> </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sz w:val="24"/>
          <w:szCs w:val="24"/>
        </w:rPr>
        <w:t>This study observes whether edentulism is associated with the status of nutrition and how nutrition status affects the community-dwelling elderly. The author notes that edentulism may have effects on the intake of older adults. The results of this showed that there was a connection between the amount of energy or food intake with edentulism. Moreover, the study showed that weight gains affect the elderly. This study is important because it contributes in terms of dietary intake and weight changes.</w:t>
      </w:r>
    </w:p>
    <w:p w:rsidR="00784440" w:rsidRDefault="00560BE7" w:rsidP="00784440">
      <w:pPr>
        <w:spacing w:line="480" w:lineRule="auto"/>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 xml:space="preserve">Kondrup, J. E. S. P. E. N., Allison, S. P., Elia, M., Vellas, B., &amp; Plauth, M. (2003). ESPEN </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guidelines for nutrition screening 2002. </w:t>
      </w:r>
      <w:r w:rsidRPr="00560BE7">
        <w:rPr>
          <w:rFonts w:ascii="Times New Roman" w:hAnsi="Times New Roman" w:cs="Times New Roman"/>
          <w:i/>
          <w:iCs/>
          <w:color w:val="222222"/>
          <w:sz w:val="24"/>
          <w:szCs w:val="24"/>
          <w:shd w:val="clear" w:color="auto" w:fill="FFFFFF"/>
        </w:rPr>
        <w:t>Clinical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22</w:t>
      </w:r>
      <w:r w:rsidRPr="00560BE7">
        <w:rPr>
          <w:rFonts w:ascii="Times New Roman" w:hAnsi="Times New Roman" w:cs="Times New Roman"/>
          <w:color w:val="222222"/>
          <w:sz w:val="24"/>
          <w:szCs w:val="24"/>
          <w:shd w:val="clear" w:color="auto" w:fill="FFFFFF"/>
        </w:rPr>
        <w:t>(4), 415-421.</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 xml:space="preserve">This journal provides guidelines for nutrition risk screening that can be used in different environments especially among the elderly. The authors observe that several patients in hospital environments are usually nourished. At the same time, it is essential to establish a proper screening process which detects patients who might benefit from clinical nutrition. The conclusions are drawn for this study show there is the presence of undernutrition among the elderly, which requires home-caring interventions. This study is essential for my research because it contributes to the idea of nutrition within the hospital environment.  </w:t>
      </w:r>
    </w:p>
    <w:p w:rsidR="00784440" w:rsidRDefault="00560BE7" w:rsidP="00784440">
      <w:pPr>
        <w:spacing w:line="480" w:lineRule="auto"/>
        <w:jc w:val="both"/>
        <w:rPr>
          <w:rFonts w:ascii="Times New Roman" w:hAnsi="Times New Roman" w:cs="Times New Roman"/>
          <w:i/>
          <w:iCs/>
          <w:color w:val="222222"/>
          <w:sz w:val="24"/>
          <w:szCs w:val="24"/>
          <w:shd w:val="clear" w:color="auto" w:fill="FFFFFF"/>
        </w:rPr>
      </w:pPr>
      <w:r w:rsidRPr="00560BE7">
        <w:rPr>
          <w:rFonts w:ascii="Times New Roman" w:hAnsi="Times New Roman" w:cs="Times New Roman"/>
          <w:color w:val="222222"/>
          <w:sz w:val="24"/>
          <w:szCs w:val="24"/>
          <w:shd w:val="clear" w:color="auto" w:fill="FFFFFF"/>
        </w:rPr>
        <w:lastRenderedPageBreak/>
        <w:t xml:space="preserve">Evans, W. J. (2004). Protein nutrition, exercise, and aging. </w:t>
      </w:r>
      <w:r w:rsidRPr="00560BE7">
        <w:rPr>
          <w:rFonts w:ascii="Times New Roman" w:hAnsi="Times New Roman" w:cs="Times New Roman"/>
          <w:i/>
          <w:iCs/>
          <w:color w:val="222222"/>
          <w:sz w:val="24"/>
          <w:szCs w:val="24"/>
          <w:shd w:val="clear" w:color="auto" w:fill="FFFFFF"/>
        </w:rPr>
        <w:t xml:space="preserve">Journal of the American College </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i/>
          <w:iCs/>
          <w:color w:val="222222"/>
          <w:sz w:val="24"/>
          <w:szCs w:val="24"/>
          <w:shd w:val="clear" w:color="auto" w:fill="FFFFFF"/>
        </w:rPr>
        <w:t>of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23</w:t>
      </w:r>
      <w:r w:rsidRPr="00560BE7">
        <w:rPr>
          <w:rFonts w:ascii="Times New Roman" w:hAnsi="Times New Roman" w:cs="Times New Roman"/>
          <w:color w:val="222222"/>
          <w:sz w:val="24"/>
          <w:szCs w:val="24"/>
          <w:shd w:val="clear" w:color="auto" w:fill="FFFFFF"/>
        </w:rPr>
        <w:t>(sup6), 601S-609S.</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This journal looks at the importance of considering changes in body composition. According to Evans, aging has a close connection with changes in body composition. As such, the author believes that healthy free-living elderly men and women should be able to accommodate a given amount of diet and proper nutrition. This journal observes some important dietary protein needs for older adults, the importance of physical activities, and various nutritional requirements. Moreover, the study looks at different interventions that focus on strength training among older people. This journal is essential for my research because it looks at the importance of strength training as an appropriate intervention for older people.</w:t>
      </w:r>
    </w:p>
    <w:p w:rsidR="00784440" w:rsidRDefault="00560BE7" w:rsidP="00784440">
      <w:pPr>
        <w:spacing w:line="480" w:lineRule="auto"/>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 xml:space="preserve">Williams, K. N., &amp; Kemper, S. (2010). Interventions to reduce cognitive decline in </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aging. </w:t>
      </w:r>
      <w:r w:rsidRPr="00560BE7">
        <w:rPr>
          <w:rFonts w:ascii="Times New Roman" w:hAnsi="Times New Roman" w:cs="Times New Roman"/>
          <w:i/>
          <w:iCs/>
          <w:color w:val="222222"/>
          <w:sz w:val="24"/>
          <w:szCs w:val="24"/>
          <w:shd w:val="clear" w:color="auto" w:fill="FFFFFF"/>
        </w:rPr>
        <w:t>Journal of psychosocial nursing and mental health services</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48</w:t>
      </w:r>
      <w:r w:rsidRPr="00560BE7">
        <w:rPr>
          <w:rFonts w:ascii="Times New Roman" w:hAnsi="Times New Roman" w:cs="Times New Roman"/>
          <w:color w:val="222222"/>
          <w:sz w:val="24"/>
          <w:szCs w:val="24"/>
          <w:shd w:val="clear" w:color="auto" w:fill="FFFFFF"/>
        </w:rPr>
        <w:t>(5), 42-51.</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This journal seeks to explore the aging population by looking into the quality of life for older adults and the challenges they experience. The research findings for this study found positive effects on physical activity and cognition, as well as therapeutic nutrition in the optimization of cognitive aging. In their research, Williams &amp; Kemper observe that the changes related to aging usually take place as a result of proximal life events. As such, the study provides a recommendation for avoiding that factors that increase aging based on cognitive processes.</w:t>
      </w:r>
    </w:p>
    <w:p w:rsidR="00784440" w:rsidRDefault="00784440" w:rsidP="00784440">
      <w:pPr>
        <w:spacing w:line="480" w:lineRule="auto"/>
        <w:jc w:val="both"/>
        <w:rPr>
          <w:rFonts w:ascii="Times New Roman" w:hAnsi="Times New Roman" w:cs="Times New Roman"/>
          <w:color w:val="222222"/>
          <w:sz w:val="24"/>
          <w:szCs w:val="24"/>
          <w:shd w:val="clear" w:color="auto" w:fill="FFFFFF"/>
        </w:rPr>
      </w:pPr>
    </w:p>
    <w:p w:rsidR="00784440" w:rsidRDefault="00784440" w:rsidP="00784440">
      <w:pPr>
        <w:spacing w:line="480" w:lineRule="auto"/>
        <w:jc w:val="both"/>
        <w:rPr>
          <w:rFonts w:ascii="Times New Roman" w:hAnsi="Times New Roman" w:cs="Times New Roman"/>
          <w:color w:val="222222"/>
          <w:sz w:val="24"/>
          <w:szCs w:val="24"/>
          <w:shd w:val="clear" w:color="auto" w:fill="FFFFFF"/>
        </w:rPr>
      </w:pPr>
    </w:p>
    <w:p w:rsidR="00784440" w:rsidRDefault="00784440" w:rsidP="00784440">
      <w:pPr>
        <w:spacing w:line="480" w:lineRule="auto"/>
        <w:jc w:val="both"/>
        <w:rPr>
          <w:rFonts w:ascii="Times New Roman" w:hAnsi="Times New Roman" w:cs="Times New Roman"/>
          <w:color w:val="222222"/>
          <w:sz w:val="24"/>
          <w:szCs w:val="24"/>
          <w:shd w:val="clear" w:color="auto" w:fill="FFFFFF"/>
        </w:rPr>
      </w:pPr>
    </w:p>
    <w:p w:rsidR="00784440" w:rsidRDefault="00560BE7" w:rsidP="00784440">
      <w:pPr>
        <w:spacing w:line="480" w:lineRule="auto"/>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lastRenderedPageBreak/>
        <w:t xml:space="preserve">Joseph, J., Cole, G., Head, E., &amp; Ingram, D. (2009). Nutrition, brain aging, and </w:t>
      </w:r>
    </w:p>
    <w:p w:rsidR="00560BE7" w:rsidRPr="00560BE7" w:rsidRDefault="00560BE7" w:rsidP="00784440">
      <w:pPr>
        <w:spacing w:line="480" w:lineRule="auto"/>
        <w:ind w:firstLine="720"/>
        <w:jc w:val="both"/>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neurodegeneration. </w:t>
      </w:r>
      <w:r w:rsidRPr="00560BE7">
        <w:rPr>
          <w:rFonts w:ascii="Times New Roman" w:hAnsi="Times New Roman" w:cs="Times New Roman"/>
          <w:i/>
          <w:iCs/>
          <w:color w:val="222222"/>
          <w:sz w:val="24"/>
          <w:szCs w:val="24"/>
          <w:shd w:val="clear" w:color="auto" w:fill="FFFFFF"/>
        </w:rPr>
        <w:t>Journal of Neuroscience</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29</w:t>
      </w:r>
      <w:r w:rsidRPr="00560BE7">
        <w:rPr>
          <w:rFonts w:ascii="Times New Roman" w:hAnsi="Times New Roman" w:cs="Times New Roman"/>
          <w:color w:val="222222"/>
          <w:sz w:val="24"/>
          <w:szCs w:val="24"/>
          <w:shd w:val="clear" w:color="auto" w:fill="FFFFFF"/>
        </w:rPr>
        <w:t>(41), 12795-12801.</w:t>
      </w:r>
    </w:p>
    <w:p w:rsidR="00560BE7" w:rsidRPr="00560BE7" w:rsidRDefault="00560BE7" w:rsidP="00784440">
      <w:pPr>
        <w:spacing w:line="480" w:lineRule="auto"/>
        <w:ind w:firstLine="720"/>
        <w:jc w:val="both"/>
        <w:rPr>
          <w:rFonts w:ascii="Times New Roman" w:hAnsi="Times New Roman" w:cs="Times New Roman"/>
          <w:sz w:val="24"/>
          <w:szCs w:val="24"/>
        </w:rPr>
      </w:pPr>
      <w:r w:rsidRPr="00560BE7">
        <w:rPr>
          <w:rFonts w:ascii="Times New Roman" w:hAnsi="Times New Roman" w:cs="Times New Roman"/>
          <w:color w:val="222222"/>
          <w:sz w:val="24"/>
          <w:szCs w:val="24"/>
          <w:shd w:val="clear" w:color="auto" w:fill="FFFFFF"/>
        </w:rPr>
        <w:t xml:space="preserve">This journal looks at age-related diseases from a neurodegeneration perspective. According to Joseph and associates, the application of molecular biological approach in slowing down aging may be an essential step towards the intervention of aging-related nutrition. The findings of this study show that changes in lifestyle that involve caloric selection by altering nut, fish, oil, and berry fruits prevent and also delays onsets of various diseases. This study will be necessary for my research because it makes a general observation on the importance of establishing interventions that deal with brain aging.   </w:t>
      </w: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r w:rsidRPr="00560BE7">
        <w:rPr>
          <w:rFonts w:ascii="Times New Roman" w:hAnsi="Times New Roman" w:cs="Times New Roman"/>
          <w:color w:val="222222"/>
          <w:sz w:val="24"/>
          <w:szCs w:val="24"/>
          <w:shd w:val="clear" w:color="auto" w:fill="FFFFFF"/>
        </w:rPr>
        <w:t xml:space="preserve">  </w:t>
      </w: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560BE7" w:rsidRPr="00560BE7" w:rsidRDefault="00560BE7" w:rsidP="00560BE7">
      <w:pPr>
        <w:spacing w:line="480" w:lineRule="auto"/>
        <w:rPr>
          <w:rFonts w:ascii="Times New Roman" w:hAnsi="Times New Roman" w:cs="Times New Roman"/>
          <w:sz w:val="24"/>
          <w:szCs w:val="24"/>
        </w:rPr>
      </w:pPr>
    </w:p>
    <w:p w:rsidR="00C35B4A" w:rsidRPr="00560BE7" w:rsidRDefault="00C35B4A" w:rsidP="00560BE7">
      <w:pPr>
        <w:spacing w:line="480" w:lineRule="auto"/>
        <w:rPr>
          <w:rFonts w:ascii="Times New Roman" w:hAnsi="Times New Roman" w:cs="Times New Roman"/>
          <w:color w:val="222222"/>
          <w:sz w:val="24"/>
          <w:szCs w:val="24"/>
          <w:shd w:val="clear" w:color="auto" w:fill="FFFFFF"/>
        </w:rPr>
      </w:pPr>
    </w:p>
    <w:p w:rsidR="00617D8A" w:rsidRPr="00560BE7" w:rsidRDefault="00617D8A" w:rsidP="00560BE7">
      <w:pPr>
        <w:spacing w:line="480" w:lineRule="auto"/>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lastRenderedPageBreak/>
        <w:t xml:space="preserve">  </w:t>
      </w:r>
    </w:p>
    <w:p w:rsidR="008B5ACB" w:rsidRPr="00560BE7" w:rsidRDefault="008B5ACB" w:rsidP="00560BE7">
      <w:pPr>
        <w:spacing w:line="480" w:lineRule="auto"/>
        <w:rPr>
          <w:rFonts w:ascii="Times New Roman" w:hAnsi="Times New Roman" w:cs="Times New Roman"/>
          <w:sz w:val="24"/>
          <w:szCs w:val="24"/>
        </w:rPr>
      </w:pPr>
      <w:r w:rsidRPr="00560BE7">
        <w:rPr>
          <w:rFonts w:ascii="Times New Roman" w:hAnsi="Times New Roman" w:cs="Times New Roman"/>
          <w:sz w:val="24"/>
          <w:szCs w:val="24"/>
        </w:rPr>
        <w:br w:type="page"/>
      </w:r>
    </w:p>
    <w:p w:rsidR="00A43878" w:rsidRPr="00560BE7" w:rsidRDefault="0089319C" w:rsidP="00560BE7">
      <w:pPr>
        <w:spacing w:line="480" w:lineRule="auto"/>
        <w:jc w:val="center"/>
        <w:rPr>
          <w:rFonts w:ascii="Times New Roman" w:hAnsi="Times New Roman" w:cs="Times New Roman"/>
          <w:sz w:val="24"/>
          <w:szCs w:val="24"/>
        </w:rPr>
      </w:pPr>
      <w:r w:rsidRPr="00560BE7">
        <w:rPr>
          <w:rFonts w:ascii="Times New Roman" w:hAnsi="Times New Roman" w:cs="Times New Roman"/>
          <w:sz w:val="24"/>
          <w:szCs w:val="24"/>
        </w:rPr>
        <w:lastRenderedPageBreak/>
        <w:t>References</w:t>
      </w:r>
    </w:p>
    <w:p w:rsidR="00560BE7" w:rsidRPr="00560BE7" w:rsidRDefault="00560BE7" w:rsidP="00560BE7">
      <w:pPr>
        <w:spacing w:line="480" w:lineRule="auto"/>
        <w:ind w:left="630" w:hanging="630"/>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 xml:space="preserve">Evans, W. J. (2004). Protein nutrition, exercise, and aging. </w:t>
      </w:r>
      <w:r w:rsidRPr="00560BE7">
        <w:rPr>
          <w:rFonts w:ascii="Times New Roman" w:hAnsi="Times New Roman" w:cs="Times New Roman"/>
          <w:i/>
          <w:iCs/>
          <w:color w:val="222222"/>
          <w:sz w:val="24"/>
          <w:szCs w:val="24"/>
          <w:shd w:val="clear" w:color="auto" w:fill="FFFFFF"/>
        </w:rPr>
        <w:t>Journal of the American College of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23</w:t>
      </w:r>
      <w:r w:rsidRPr="00560BE7">
        <w:rPr>
          <w:rFonts w:ascii="Times New Roman" w:hAnsi="Times New Roman" w:cs="Times New Roman"/>
          <w:color w:val="222222"/>
          <w:sz w:val="24"/>
          <w:szCs w:val="24"/>
          <w:shd w:val="clear" w:color="auto" w:fill="FFFFFF"/>
        </w:rPr>
        <w:t>(sup6), 601S-609S.</w:t>
      </w:r>
    </w:p>
    <w:p w:rsidR="00560BE7" w:rsidRPr="00560BE7" w:rsidRDefault="00560BE7" w:rsidP="00560BE7">
      <w:pPr>
        <w:spacing w:line="480" w:lineRule="auto"/>
        <w:ind w:left="630" w:hanging="630"/>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Joseph, J., Cole, G., Head, E., &amp; Ingram, D. (2009). Nutrition, brain aging, and neurodegeneration. </w:t>
      </w:r>
      <w:r w:rsidRPr="00560BE7">
        <w:rPr>
          <w:rFonts w:ascii="Times New Roman" w:hAnsi="Times New Roman" w:cs="Times New Roman"/>
          <w:i/>
          <w:iCs/>
          <w:color w:val="222222"/>
          <w:sz w:val="24"/>
          <w:szCs w:val="24"/>
          <w:shd w:val="clear" w:color="auto" w:fill="FFFFFF"/>
        </w:rPr>
        <w:t>Journal of Neuroscience</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29</w:t>
      </w:r>
      <w:r w:rsidRPr="00560BE7">
        <w:rPr>
          <w:rFonts w:ascii="Times New Roman" w:hAnsi="Times New Roman" w:cs="Times New Roman"/>
          <w:color w:val="222222"/>
          <w:sz w:val="24"/>
          <w:szCs w:val="24"/>
          <w:shd w:val="clear" w:color="auto" w:fill="FFFFFF"/>
        </w:rPr>
        <w:t>(41), 12795-12801.</w:t>
      </w:r>
    </w:p>
    <w:p w:rsidR="00560BE7" w:rsidRPr="00560BE7" w:rsidRDefault="00560BE7" w:rsidP="00560BE7">
      <w:pPr>
        <w:spacing w:line="480" w:lineRule="auto"/>
        <w:ind w:left="630" w:hanging="630"/>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Kondrup, J. E. S. P. E. N., Allison, S. P., Elia, M., Vellas, B., &amp; Plauth, M. (2003). ESPEN guidelines for nutrition screening 2002. </w:t>
      </w:r>
      <w:r w:rsidRPr="00560BE7">
        <w:rPr>
          <w:rFonts w:ascii="Times New Roman" w:hAnsi="Times New Roman" w:cs="Times New Roman"/>
          <w:i/>
          <w:iCs/>
          <w:color w:val="222222"/>
          <w:sz w:val="24"/>
          <w:szCs w:val="24"/>
          <w:shd w:val="clear" w:color="auto" w:fill="FFFFFF"/>
        </w:rPr>
        <w:t>Clinical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22</w:t>
      </w:r>
      <w:r w:rsidRPr="00560BE7">
        <w:rPr>
          <w:rFonts w:ascii="Times New Roman" w:hAnsi="Times New Roman" w:cs="Times New Roman"/>
          <w:color w:val="222222"/>
          <w:sz w:val="24"/>
          <w:szCs w:val="24"/>
          <w:shd w:val="clear" w:color="auto" w:fill="FFFFFF"/>
        </w:rPr>
        <w:t>(4), 415-421.</w:t>
      </w:r>
    </w:p>
    <w:p w:rsidR="00560BE7" w:rsidRPr="00560BE7" w:rsidRDefault="00560BE7" w:rsidP="00560BE7">
      <w:pPr>
        <w:spacing w:line="480" w:lineRule="auto"/>
        <w:ind w:left="630" w:hanging="630"/>
        <w:rPr>
          <w:rFonts w:ascii="Times New Roman" w:hAnsi="Times New Roman" w:cs="Times New Roman"/>
          <w:sz w:val="24"/>
          <w:szCs w:val="24"/>
        </w:rPr>
      </w:pPr>
      <w:r w:rsidRPr="00560BE7">
        <w:rPr>
          <w:rFonts w:ascii="Times New Roman" w:hAnsi="Times New Roman" w:cs="Times New Roman"/>
          <w:color w:val="222222"/>
          <w:sz w:val="24"/>
          <w:szCs w:val="24"/>
          <w:shd w:val="clear" w:color="auto" w:fill="FFFFFF"/>
        </w:rPr>
        <w:t>Lee, J. S., Weyant, R. J., Corby, P., Kritchevsky, S. B., Harris, T. B., Rooks, R., ... &amp; Newman, A. B. (2004). Edentulism and nutritional status in a biracial sample of well-functioning, community-dwelling elderly: the health, aging, and body composition study. </w:t>
      </w:r>
      <w:r w:rsidRPr="00560BE7">
        <w:rPr>
          <w:rFonts w:ascii="Times New Roman" w:hAnsi="Times New Roman" w:cs="Times New Roman"/>
          <w:i/>
          <w:iCs/>
          <w:color w:val="222222"/>
          <w:sz w:val="24"/>
          <w:szCs w:val="24"/>
          <w:shd w:val="clear" w:color="auto" w:fill="FFFFFF"/>
        </w:rPr>
        <w:t>The American journal of clinical nutrition</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79</w:t>
      </w:r>
      <w:r w:rsidRPr="00560BE7">
        <w:rPr>
          <w:rFonts w:ascii="Times New Roman" w:hAnsi="Times New Roman" w:cs="Times New Roman"/>
          <w:color w:val="222222"/>
          <w:sz w:val="24"/>
          <w:szCs w:val="24"/>
          <w:shd w:val="clear" w:color="auto" w:fill="FFFFFF"/>
        </w:rPr>
        <w:t>(2), 295-302.</w:t>
      </w:r>
      <w:r w:rsidRPr="00560BE7">
        <w:rPr>
          <w:rFonts w:ascii="Times New Roman" w:hAnsi="Times New Roman" w:cs="Times New Roman"/>
          <w:sz w:val="24"/>
          <w:szCs w:val="24"/>
        </w:rPr>
        <w:t xml:space="preserve"> </w:t>
      </w:r>
    </w:p>
    <w:p w:rsidR="00560BE7" w:rsidRPr="00560BE7" w:rsidRDefault="00560BE7" w:rsidP="00560BE7">
      <w:pPr>
        <w:spacing w:line="480" w:lineRule="auto"/>
        <w:ind w:left="630" w:hanging="630"/>
        <w:rPr>
          <w:rFonts w:ascii="Times New Roman" w:hAnsi="Times New Roman" w:cs="Times New Roman"/>
          <w:color w:val="222222"/>
          <w:sz w:val="24"/>
          <w:szCs w:val="24"/>
          <w:shd w:val="clear" w:color="auto" w:fill="FFFFFF"/>
        </w:rPr>
      </w:pPr>
      <w:r w:rsidRPr="00560BE7">
        <w:rPr>
          <w:rFonts w:ascii="Times New Roman" w:hAnsi="Times New Roman" w:cs="Times New Roman"/>
          <w:color w:val="222222"/>
          <w:sz w:val="24"/>
          <w:szCs w:val="24"/>
          <w:shd w:val="clear" w:color="auto" w:fill="FFFFFF"/>
        </w:rPr>
        <w:t>Williams, K. N., &amp; Kemper, S. (2010). Interventions to reduce cognitive decline in aging. </w:t>
      </w:r>
      <w:r w:rsidRPr="00560BE7">
        <w:rPr>
          <w:rFonts w:ascii="Times New Roman" w:hAnsi="Times New Roman" w:cs="Times New Roman"/>
          <w:i/>
          <w:iCs/>
          <w:color w:val="222222"/>
          <w:sz w:val="24"/>
          <w:szCs w:val="24"/>
          <w:shd w:val="clear" w:color="auto" w:fill="FFFFFF"/>
        </w:rPr>
        <w:t>Journal of psychosocial nursing and mental health services</w:t>
      </w:r>
      <w:r w:rsidRPr="00560BE7">
        <w:rPr>
          <w:rFonts w:ascii="Times New Roman" w:hAnsi="Times New Roman" w:cs="Times New Roman"/>
          <w:color w:val="222222"/>
          <w:sz w:val="24"/>
          <w:szCs w:val="24"/>
          <w:shd w:val="clear" w:color="auto" w:fill="FFFFFF"/>
        </w:rPr>
        <w:t>, </w:t>
      </w:r>
      <w:r w:rsidRPr="00560BE7">
        <w:rPr>
          <w:rFonts w:ascii="Times New Roman" w:hAnsi="Times New Roman" w:cs="Times New Roman"/>
          <w:i/>
          <w:iCs/>
          <w:color w:val="222222"/>
          <w:sz w:val="24"/>
          <w:szCs w:val="24"/>
          <w:shd w:val="clear" w:color="auto" w:fill="FFFFFF"/>
        </w:rPr>
        <w:t>48</w:t>
      </w:r>
      <w:r w:rsidRPr="00560BE7">
        <w:rPr>
          <w:rFonts w:ascii="Times New Roman" w:hAnsi="Times New Roman" w:cs="Times New Roman"/>
          <w:color w:val="222222"/>
          <w:sz w:val="24"/>
          <w:szCs w:val="24"/>
          <w:shd w:val="clear" w:color="auto" w:fill="FFFFFF"/>
        </w:rPr>
        <w:t>(5), 42-51.</w:t>
      </w:r>
    </w:p>
    <w:p w:rsidR="00560BE7" w:rsidRPr="00560BE7" w:rsidRDefault="00560BE7" w:rsidP="00560BE7">
      <w:pPr>
        <w:spacing w:line="480" w:lineRule="auto"/>
        <w:rPr>
          <w:rFonts w:ascii="Times New Roman" w:hAnsi="Times New Roman" w:cs="Times New Roman"/>
          <w:color w:val="222222"/>
          <w:sz w:val="24"/>
          <w:szCs w:val="24"/>
          <w:shd w:val="clear" w:color="auto" w:fill="FFFFFF"/>
        </w:rPr>
      </w:pPr>
    </w:p>
    <w:p w:rsidR="00560BE7" w:rsidRPr="00560BE7" w:rsidRDefault="00560BE7" w:rsidP="00560BE7">
      <w:pPr>
        <w:spacing w:line="480" w:lineRule="auto"/>
        <w:rPr>
          <w:rFonts w:ascii="Times New Roman" w:hAnsi="Times New Roman" w:cs="Times New Roman"/>
          <w:color w:val="222222"/>
          <w:sz w:val="24"/>
          <w:szCs w:val="24"/>
          <w:shd w:val="clear" w:color="auto" w:fill="FFFFFF"/>
        </w:rPr>
      </w:pPr>
    </w:p>
    <w:p w:rsidR="00560BE7" w:rsidRPr="00560BE7" w:rsidRDefault="00560BE7" w:rsidP="00560BE7">
      <w:pPr>
        <w:spacing w:line="480" w:lineRule="auto"/>
        <w:rPr>
          <w:rFonts w:ascii="Times New Roman" w:hAnsi="Times New Roman" w:cs="Times New Roman"/>
          <w:sz w:val="24"/>
          <w:szCs w:val="24"/>
        </w:rPr>
      </w:pPr>
    </w:p>
    <w:p w:rsidR="00FE5453" w:rsidRPr="00560BE7" w:rsidRDefault="00FE5453" w:rsidP="00560BE7">
      <w:pPr>
        <w:pStyle w:val="Bibliography"/>
        <w:spacing w:after="200" w:line="480" w:lineRule="auto"/>
        <w:ind w:left="720" w:hanging="720"/>
        <w:rPr>
          <w:rFonts w:ascii="Times New Roman" w:hAnsi="Times New Roman" w:cs="Times New Roman"/>
          <w:color w:val="222222"/>
          <w:sz w:val="24"/>
          <w:szCs w:val="24"/>
          <w:shd w:val="clear" w:color="auto" w:fill="FFFFFF"/>
        </w:rPr>
      </w:pPr>
    </w:p>
    <w:p w:rsidR="00560BE7" w:rsidRPr="00560BE7" w:rsidRDefault="00560BE7">
      <w:pPr>
        <w:pStyle w:val="Bibliography"/>
        <w:spacing w:after="200" w:line="480" w:lineRule="auto"/>
        <w:ind w:left="720" w:hanging="720"/>
        <w:rPr>
          <w:rFonts w:ascii="Times New Roman" w:hAnsi="Times New Roman" w:cs="Times New Roman"/>
          <w:color w:val="222222"/>
          <w:sz w:val="24"/>
          <w:szCs w:val="24"/>
          <w:shd w:val="clear" w:color="auto" w:fill="FFFFFF"/>
        </w:rPr>
      </w:pPr>
    </w:p>
    <w:sectPr w:rsidR="00560BE7" w:rsidRPr="00560BE7"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EA9" w:rsidRDefault="009C0EA9" w:rsidP="00EE0CEB">
      <w:pPr>
        <w:spacing w:after="0" w:line="240" w:lineRule="auto"/>
      </w:pPr>
      <w:r>
        <w:separator/>
      </w:r>
    </w:p>
  </w:endnote>
  <w:endnote w:type="continuationSeparator" w:id="0">
    <w:p w:rsidR="009C0EA9" w:rsidRDefault="009C0EA9"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EA9" w:rsidRDefault="009C0EA9" w:rsidP="00EE0CEB">
      <w:pPr>
        <w:spacing w:after="0" w:line="240" w:lineRule="auto"/>
      </w:pPr>
      <w:r>
        <w:separator/>
      </w:r>
    </w:p>
  </w:footnote>
  <w:footnote w:type="continuationSeparator" w:id="0">
    <w:p w:rsidR="009C0EA9" w:rsidRDefault="009C0EA9"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560BE7" w:rsidP="00617D8A">
    <w:pPr>
      <w:rPr>
        <w:rFonts w:ascii="Times New Roman" w:hAnsi="Times New Roman" w:cs="Times New Roman"/>
        <w:color w:val="222222"/>
        <w:sz w:val="24"/>
        <w:shd w:val="clear" w:color="auto" w:fill="FFFFFF"/>
      </w:rPr>
    </w:pPr>
    <w:r w:rsidRPr="00560BE7">
      <w:rPr>
        <w:rFonts w:ascii="Times New Roman" w:hAnsi="Times New Roman" w:cs="Times New Roman"/>
        <w:color w:val="222222"/>
        <w:sz w:val="24"/>
        <w:szCs w:val="24"/>
        <w:shd w:val="clear" w:color="auto" w:fill="FFFFFF"/>
      </w:rPr>
      <w:t>COMMUNITY HEALTH DEVELOPMENT</w:t>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784440">
      <w:rPr>
        <w:rFonts w:ascii="Times New Roman" w:hAnsi="Times New Roman" w:cs="Times New Roman"/>
        <w:noProof/>
        <w:sz w:val="24"/>
        <w:szCs w:val="24"/>
      </w:rPr>
      <w:t>6</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C35B4A">
    <w:pPr>
      <w:spacing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560BE7" w:rsidRPr="00560BE7">
      <w:rPr>
        <w:rFonts w:ascii="Times New Roman" w:hAnsi="Times New Roman" w:cs="Times New Roman"/>
        <w:color w:val="222222"/>
        <w:sz w:val="24"/>
        <w:szCs w:val="24"/>
        <w:shd w:val="clear" w:color="auto" w:fill="FFFFFF"/>
      </w:rPr>
      <w:t>COMMUNITY HEALTH DEVELOPMENT</w:t>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784440">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356A8"/>
    <w:rsid w:val="00040682"/>
    <w:rsid w:val="000503B6"/>
    <w:rsid w:val="00065339"/>
    <w:rsid w:val="0006707F"/>
    <w:rsid w:val="00071F72"/>
    <w:rsid w:val="00076317"/>
    <w:rsid w:val="00085728"/>
    <w:rsid w:val="00085A7E"/>
    <w:rsid w:val="000865FA"/>
    <w:rsid w:val="0009239E"/>
    <w:rsid w:val="00093984"/>
    <w:rsid w:val="000C3195"/>
    <w:rsid w:val="000C50C9"/>
    <w:rsid w:val="000C541A"/>
    <w:rsid w:val="000D70F6"/>
    <w:rsid w:val="00106F9B"/>
    <w:rsid w:val="001115AF"/>
    <w:rsid w:val="00111D49"/>
    <w:rsid w:val="001328C3"/>
    <w:rsid w:val="00140D3E"/>
    <w:rsid w:val="00144CC8"/>
    <w:rsid w:val="00146D5F"/>
    <w:rsid w:val="0019128B"/>
    <w:rsid w:val="00192BF3"/>
    <w:rsid w:val="001B55F5"/>
    <w:rsid w:val="001C5B66"/>
    <w:rsid w:val="001C7CA5"/>
    <w:rsid w:val="001D181E"/>
    <w:rsid w:val="001D29F6"/>
    <w:rsid w:val="001D3948"/>
    <w:rsid w:val="001D6702"/>
    <w:rsid w:val="001D6B46"/>
    <w:rsid w:val="001E3C0B"/>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60BE7"/>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84440"/>
    <w:rsid w:val="00792DF9"/>
    <w:rsid w:val="007D6BCF"/>
    <w:rsid w:val="007E4866"/>
    <w:rsid w:val="007E5D38"/>
    <w:rsid w:val="007F4F3A"/>
    <w:rsid w:val="008337E7"/>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0EA9"/>
    <w:rsid w:val="009C329E"/>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20864"/>
    <w:rsid w:val="00F340E6"/>
    <w:rsid w:val="00F47324"/>
    <w:rsid w:val="00F619F7"/>
    <w:rsid w:val="00F84CB9"/>
    <w:rsid w:val="00F86B2C"/>
    <w:rsid w:val="00F87620"/>
    <w:rsid w:val="00F93000"/>
    <w:rsid w:val="00F96FD5"/>
    <w:rsid w:val="00FA5860"/>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30349439-B46D-47D0-B2DF-AC336210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2018-12-01T10:10:00Z</dcterms:created>
  <dcterms:modified xsi:type="dcterms:W3CDTF">2018-12-01T10:10:00Z</dcterms:modified>
</cp:coreProperties>
</file>